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60" w:lineRule="auto"/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INSTRUKCJA DLA PRACOWNIKÓW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Rule="auto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Centralny Rejestr Umów Jednostek Sektora Finansów Publicznych (CRU JSFP)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before="60" w:lineRule="auto"/>
        <w:jc w:val="center"/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Podstawy prawne: art. 34a–34d ustawy o finansach publicznych | rozporządzenie MFiG z 30 marca 2026 r.</w:t>
        <w:br w:type="textWrapping"/>
        <w:t xml:space="preserve">(Dz. U. poz. 440)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2e74b5" w:space="1" w:sz="4" w:val="single"/>
        </w:pBdr>
        <w:spacing w:after="12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1. Czym jest CRU JSFP?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80" w:before="60" w:lineRule="auto"/>
        <w:rPr/>
      </w:pPr>
      <w:r w:rsidDel="00000000" w:rsidR="00000000" w:rsidRPr="00000000">
        <w:rPr>
          <w:rtl w:val="0"/>
        </w:rPr>
        <w:t xml:space="preserve">Centralny Rejestr Umów JSFP (CRU) to jawny, ogólnodostępny system teleinformatyczny prowadzony przez Ministra Finansów, w którym jednostki sektora finansów publicznych (JSFP) udostępniają informacje o zawieranych umowach – zamówieniach publicznych. Obowiązek wpisów dotyczy umów zawartych od 1 lipca 2026 r.</w:t>
      </w:r>
    </w:p>
    <w:p w:rsidR="00000000" w:rsidDel="00000000" w:rsidP="00000000" w:rsidRDefault="00000000" w:rsidRPr="00000000" w14:paraId="00000007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2. Kogo dotyczy obowiązek?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Obowiązek spoczywa na kierowniku JSFP. Dotyczy każdej jednostki z art. 9 ustawy o finansach publicznych, której plan finansowy/budżet jest obciążany zobowiązaniami z objętych obowiązkiem umów.</w:t>
      </w:r>
    </w:p>
    <w:p w:rsidR="00000000" w:rsidDel="00000000" w:rsidP="00000000" w:rsidRDefault="00000000" w:rsidRPr="00000000" w14:paraId="00000009">
      <w:pPr>
        <w:spacing w:after="80" w:before="60" w:lineRule="auto"/>
        <w:rPr/>
      </w:pPr>
      <w:r w:rsidDel="00000000" w:rsidR="00000000" w:rsidRPr="00000000">
        <w:rPr>
          <w:i w:val="1"/>
          <w:iCs w:val="1"/>
          <w:color w:val="555555"/>
          <w:sz w:val="20"/>
          <w:szCs w:val="20"/>
          <w:rtl w:val="0"/>
        </w:rPr>
        <w:t xml:space="preserve">Nie dotyczy: spółek prawa handlowego, instytutów badawczych, banków, przedsiębiorstw – nawet jeśli są własnością jednostki samorządu terytorialnego lub Skarbu Państwa (stanowisko MF).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3. Z jakich umów wpisujemy dane do rejestru?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Do CRU wpisujemy dane o umowie, gdy spełnia łącznie dwa warunki: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stanowi zamówienie w rozumieniu art. 7 pkt 32 ustawy Prawo zamówień publicznych (PZP),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została zawarta w formie pisemnej, dokumentowej, elektronicznej albo innej szczególnej.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80" w:before="6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Nie wpisujemy m.in. umów: służb specjalnych, placówek zagranicznych RP, jednostek podległych MON, zamówień in-house (art. 11 ust. 2 pkt 1 PZP), zamówień dziedzinowych (art. 14 PZP), świadczeń zdrowotnych NFZ.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240" w:lineRule="auto"/>
        <w:rPr>
          <w:b w:val="1"/>
          <w:bCs w:val="1"/>
          <w:color w:val="2e74b5"/>
          <w:sz w:val="24"/>
          <w:szCs w:val="24"/>
        </w:rPr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4. Jakie informacje wpisujemy?</w:t>
      </w:r>
    </w:p>
    <w:p w:rsidR="00000000" w:rsidDel="00000000" w:rsidP="00000000" w:rsidRDefault="00000000" w:rsidRPr="00000000" w14:paraId="00000011">
      <w:pPr>
        <w:spacing w:after="60" w:before="60" w:lineRule="auto"/>
        <w:rPr>
          <w:b w:val="1"/>
          <w:bCs w:val="1"/>
          <w:color w:val="2e74b5"/>
          <w:sz w:val="24"/>
          <w:szCs w:val="24"/>
        </w:rPr>
      </w:pPr>
      <w:r w:rsidDel="00000000" w:rsidR="00000000" w:rsidRPr="00000000">
        <w:rPr>
          <w:rtl w:val="0"/>
        </w:rPr>
        <w:t xml:space="preserve">Do CRU wpisujemy następujące dane o umowie: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numer umowy – jeżeli nadano;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datę zawarcia umowy;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okres obowiązywania umowy – czas oznaczony wyrażony w dniach, miesiącach lub latach albo czas nieoznaczony;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oznaczenie stron umowy – nazwę, REGON, NIP oraz adres, a w przypadku osoby fizycznej – imię i nazwisko;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przedmiot umowy – opis dostaw, usług lub robót budowlanych;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wartość umowy wyrażoną w PLN bez podatku od towarów i usług, z dokładnością do dwóch miejsc po przecinku; dla umów zawartych na czas nieoznaczony – wartość za pierwsze 48 miesięcy wykonywania;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informację o finansowaniu ze środków, o których mowa w art. 5 ust. 1 pkt 2–3 Ustawy;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status umowy – aktywna albo nieaktywna.</w:t>
      </w:r>
    </w:p>
    <w:p w:rsidR="00000000" w:rsidDel="00000000" w:rsidP="00000000" w:rsidRDefault="00000000" w:rsidRPr="00000000" w14:paraId="0000001A">
      <w:pPr>
        <w:spacing w:after="120" w:before="240" w:lineRule="auto"/>
        <w:rPr>
          <w:b w:val="1"/>
          <w:bCs w:val="1"/>
          <w:color w:val="2e74b5"/>
          <w:sz w:val="24"/>
          <w:szCs w:val="24"/>
        </w:rPr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5. Terminy</w:t>
      </w:r>
    </w:p>
    <w:p w:rsidR="00000000" w:rsidDel="00000000" w:rsidP="00000000" w:rsidRDefault="00000000" w:rsidRPr="00000000" w14:paraId="0000001B">
      <w:pPr>
        <w:spacing w:after="60" w:before="60" w:lineRule="auto"/>
        <w:rPr>
          <w:b w:val="1"/>
          <w:bCs w:val="1"/>
          <w:color w:val="2e74b5"/>
          <w:sz w:val="24"/>
          <w:szCs w:val="24"/>
        </w:rPr>
      </w:pPr>
      <w:r w:rsidDel="00000000" w:rsidR="00000000" w:rsidRPr="00000000">
        <w:rPr>
          <w:rtl w:val="0"/>
        </w:rPr>
        <w:t xml:space="preserve">Realizacja obowiązku wprowadzania danych o umowie do CRU obliguje do zachowania terminów: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Rejestracja danych z umowy: bez zbędnej zwłoki, nie później niż 30 dni od dnia zawarcia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Aktualizacja: bez zbędnej zwłoki, nie później niż 30 dni od dnia zaistnienia zmiany (np. aneks, wypowiedzenie, cesja).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 terminu nie wlicza się dni awarii systemu potwierdzonej w BIP przez MF.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Pierwsze wpisy dotyczą umów zawartych od 1 lipca 2026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6. Jak korzystać z systemu?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Uwierzytelnienie: wyłącznie przez środek identyfikacji elektronicznej (np. profil zaufany, podpis kwalifikowany, mDowód)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Wgląd do rejestru: nie wymaga logowania – rejestr jest jawny i publicznie dostępn</w:t>
      </w:r>
      <w:r w:rsidDel="00000000" w:rsidR="00000000" w:rsidRPr="00000000">
        <w:rPr>
          <w:sz w:val="20"/>
          <w:szCs w:val="20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Zasilanie z zewnętrznego systemu: możliwe przez API udostępnione w BIP MF.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7. Kto może wpisywać dane – rodzaje uprawnień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0" w:afterAutospacing="0" w:before="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Administrator jest uprawniony do akceptowania wniosków użytkowników o konto, odbierania i zmieniania uprawnień oraz generowania raportów z informacji zarejestrowanych na koncie jednostki.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Wprowadzający jest uprawniony do wprowadzania i zmieniania informacji o umowach w Systemie CRU JSFP przed ich publikacją.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after="6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Publikujący jest uprawniony do udostępniania i aktualizowania informacji w Systemie CRU JSFP, wycofywania wpisów oraz zasilania rejestru przez interfejs API.</w:t>
      </w:r>
    </w:p>
    <w:p w:rsidR="00000000" w:rsidDel="00000000" w:rsidP="00000000" w:rsidRDefault="00000000" w:rsidRPr="00000000" w14:paraId="00000028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8. Ważne zasady dotyczące wartości umowy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Wartość = całkowita wartość określona w umowie (bez VAT).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Umowa na czas nieoznaczony: wartość za pierwsze 48 miesięcy wykonywania.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Jeśli wartość nie jest określona w umowie: łączna wysokość środków, które jednostka zamierza przeznaczyć.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Uwzględnia się wartość opcji i wznowień.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Faktycznie wydatkowane środki nie mają wpływu na wartość wpisywaną do rejestru.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20" w:before="240" w:lineRule="auto"/>
        <w:rPr/>
      </w:pPr>
      <w:r w:rsidDel="00000000" w:rsidR="00000000" w:rsidRPr="00000000">
        <w:rPr>
          <w:b w:val="1"/>
          <w:bCs w:val="1"/>
          <w:color w:val="2e74b5"/>
          <w:sz w:val="24"/>
          <w:szCs w:val="24"/>
          <w:rtl w:val="0"/>
        </w:rPr>
        <w:t xml:space="preserve">9. Kiedy nie wpisujemy informacji?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60" w:before="60" w:lineRule="auto"/>
        <w:rPr/>
      </w:pPr>
      <w:r w:rsidDel="00000000" w:rsidR="00000000" w:rsidRPr="00000000">
        <w:rPr>
          <w:rtl w:val="0"/>
        </w:rPr>
        <w:t xml:space="preserve">Nie wpisujemy informacji, co do których prawo do informacji publicznej podlega ograniczeniu (art. 5 ust. 1 i 2–2b ustawy o dostępie do informacji publicznej). W takim przypadku należy wskazać podstawę prawną wyłączenia i organ, który go dokonał.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60" w:before="6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200" w:top="1200" w:left="1417" w:right="12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0"/>
      <w:numFmt w:val="lowerLetter"/>
      <w:lvlText w:val="%2)"/>
      <w:lvlJc w:val="left"/>
      <w:pPr>
        <w:ind w:left="0" w:firstLine="0"/>
      </w:pPr>
      <w:rPr/>
    </w:lvl>
    <w:lvl w:ilvl="2">
      <w:start w:val="0"/>
      <w:numFmt w:val="lowerRoman"/>
      <w:lvlText w:val="%3)"/>
      <w:lvlJc w:val="right"/>
      <w:pPr>
        <w:ind w:left="0" w:firstLine="0"/>
      </w:pPr>
      <w:rPr/>
    </w:lvl>
    <w:lvl w:ilvl="3">
      <w:start w:val="0"/>
      <w:numFmt w:val="decimal"/>
      <w:lvlText w:val="(%4)"/>
      <w:lvlJc w:val="left"/>
      <w:pPr>
        <w:ind w:left="0" w:firstLine="0"/>
      </w:pPr>
      <w:rPr/>
    </w:lvl>
    <w:lvl w:ilvl="4">
      <w:start w:val="0"/>
      <w:numFmt w:val="lowerLetter"/>
      <w:lvlText w:val="(%5)"/>
      <w:lvlJc w:val="left"/>
      <w:pPr>
        <w:ind w:left="0" w:firstLine="0"/>
      </w:pPr>
      <w:rPr/>
    </w:lvl>
    <w:lvl w:ilvl="5">
      <w:start w:val="0"/>
      <w:numFmt w:val="lowerRoman"/>
      <w:lvlText w:val="(%6)"/>
      <w:lvlJc w:val="right"/>
      <w:pPr>
        <w:ind w:left="0" w:firstLine="0"/>
      </w:pPr>
      <w:rPr/>
    </w:lvl>
    <w:lvl w:ilvl="6">
      <w:start w:val="0"/>
      <w:numFmt w:val="decimal"/>
      <w:lvlText w:val="%7."/>
      <w:lvlJc w:val="left"/>
      <w:pPr>
        <w:ind w:left="0" w:firstLine="0"/>
      </w:pPr>
      <w:rPr/>
    </w:lvl>
    <w:lvl w:ilvl="7">
      <w:start w:val="0"/>
      <w:numFmt w:val="lowerLetter"/>
      <w:lvlText w:val="%8."/>
      <w:lvlJc w:val="left"/>
      <w:pPr>
        <w:ind w:left="0" w:firstLine="0"/>
      </w:pPr>
      <w:rPr/>
    </w:lvl>
    <w:lvl w:ilvl="8">
      <w:start w:val="0"/>
      <w:numFmt w:val="lowerRoman"/>
      <w:lvlText w:val="%9."/>
      <w:lvlJc w:val="right"/>
      <w:pPr>
        <w:ind w:left="0" w:firstLine="0"/>
      </w:pPr>
      <w:rPr/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0"/>
      <w:numFmt w:val="lowerLetter"/>
      <w:lvlText w:val="%2)"/>
      <w:lvlJc w:val="left"/>
      <w:pPr>
        <w:ind w:left="0" w:firstLine="0"/>
      </w:pPr>
      <w:rPr/>
    </w:lvl>
    <w:lvl w:ilvl="2">
      <w:start w:val="0"/>
      <w:numFmt w:val="lowerRoman"/>
      <w:lvlText w:val="%3)"/>
      <w:lvlJc w:val="right"/>
      <w:pPr>
        <w:ind w:left="0" w:firstLine="0"/>
      </w:pPr>
      <w:rPr/>
    </w:lvl>
    <w:lvl w:ilvl="3">
      <w:start w:val="0"/>
      <w:numFmt w:val="decimal"/>
      <w:lvlText w:val="(%4)"/>
      <w:lvlJc w:val="left"/>
      <w:pPr>
        <w:ind w:left="0" w:firstLine="0"/>
      </w:pPr>
      <w:rPr/>
    </w:lvl>
    <w:lvl w:ilvl="4">
      <w:start w:val="0"/>
      <w:numFmt w:val="lowerLetter"/>
      <w:lvlText w:val="(%5)"/>
      <w:lvlJc w:val="left"/>
      <w:pPr>
        <w:ind w:left="0" w:firstLine="0"/>
      </w:pPr>
      <w:rPr/>
    </w:lvl>
    <w:lvl w:ilvl="5">
      <w:start w:val="0"/>
      <w:numFmt w:val="lowerRoman"/>
      <w:lvlText w:val="(%6)"/>
      <w:lvlJc w:val="right"/>
      <w:pPr>
        <w:ind w:left="0" w:firstLine="0"/>
      </w:pPr>
      <w:rPr/>
    </w:lvl>
    <w:lvl w:ilvl="6">
      <w:start w:val="0"/>
      <w:numFmt w:val="decimal"/>
      <w:lvlText w:val="%7."/>
      <w:lvlJc w:val="left"/>
      <w:pPr>
        <w:ind w:left="0" w:firstLine="0"/>
      </w:pPr>
      <w:rPr/>
    </w:lvl>
    <w:lvl w:ilvl="7">
      <w:start w:val="0"/>
      <w:numFmt w:val="lowerLetter"/>
      <w:lvlText w:val="%8."/>
      <w:lvlJc w:val="left"/>
      <w:pPr>
        <w:ind w:left="0" w:firstLine="0"/>
      </w:pPr>
      <w:rPr/>
    </w:lvl>
    <w:lvl w:ilvl="8">
      <w:start w:val="0"/>
      <w:numFmt w:val="lowerRoman"/>
      <w:lvlText w:val="%9."/>
      <w:lvlJc w:val="right"/>
      <w:pPr>
        <w:ind w:left="0" w:firstLine="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0"/>
      <w:numFmt w:val="lowerLetter"/>
      <w:lvlText w:val="%2)"/>
      <w:lvlJc w:val="left"/>
      <w:pPr>
        <w:ind w:left="0" w:firstLine="0"/>
      </w:pPr>
      <w:rPr/>
    </w:lvl>
    <w:lvl w:ilvl="2">
      <w:start w:val="0"/>
      <w:numFmt w:val="lowerRoman"/>
      <w:lvlText w:val="%3)"/>
      <w:lvlJc w:val="right"/>
      <w:pPr>
        <w:ind w:left="0" w:firstLine="0"/>
      </w:pPr>
      <w:rPr/>
    </w:lvl>
    <w:lvl w:ilvl="3">
      <w:start w:val="0"/>
      <w:numFmt w:val="decimal"/>
      <w:lvlText w:val="(%4)"/>
      <w:lvlJc w:val="left"/>
      <w:pPr>
        <w:ind w:left="0" w:firstLine="0"/>
      </w:pPr>
      <w:rPr/>
    </w:lvl>
    <w:lvl w:ilvl="4">
      <w:start w:val="0"/>
      <w:numFmt w:val="lowerLetter"/>
      <w:lvlText w:val="(%5)"/>
      <w:lvlJc w:val="left"/>
      <w:pPr>
        <w:ind w:left="0" w:firstLine="0"/>
      </w:pPr>
      <w:rPr/>
    </w:lvl>
    <w:lvl w:ilvl="5">
      <w:start w:val="0"/>
      <w:numFmt w:val="lowerRoman"/>
      <w:lvlText w:val="(%6)"/>
      <w:lvlJc w:val="right"/>
      <w:pPr>
        <w:ind w:left="0" w:firstLine="0"/>
      </w:pPr>
      <w:rPr/>
    </w:lvl>
    <w:lvl w:ilvl="6">
      <w:start w:val="0"/>
      <w:numFmt w:val="decimal"/>
      <w:lvlText w:val="%7."/>
      <w:lvlJc w:val="left"/>
      <w:pPr>
        <w:ind w:left="0" w:firstLine="0"/>
      </w:pPr>
      <w:rPr/>
    </w:lvl>
    <w:lvl w:ilvl="7">
      <w:start w:val="0"/>
      <w:numFmt w:val="lowerLetter"/>
      <w:lvlText w:val="%8."/>
      <w:lvlJc w:val="left"/>
      <w:pPr>
        <w:ind w:left="0" w:firstLine="0"/>
      </w:pPr>
      <w:rPr/>
    </w:lvl>
    <w:lvl w:ilvl="8">
      <w:start w:val="0"/>
      <w:numFmt w:val="lowerRoman"/>
      <w:lvlText w:val="%9."/>
      <w:lvlJc w:val="right"/>
      <w:pPr>
        <w:ind w:left="0" w:firstLine="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0"/>
      <w:numFmt w:val="lowerLetter"/>
      <w:lvlText w:val="%2)"/>
      <w:lvlJc w:val="left"/>
      <w:pPr>
        <w:ind w:left="0" w:firstLine="0"/>
      </w:pPr>
      <w:rPr/>
    </w:lvl>
    <w:lvl w:ilvl="2">
      <w:start w:val="0"/>
      <w:numFmt w:val="lowerRoman"/>
      <w:lvlText w:val="%3)"/>
      <w:lvlJc w:val="right"/>
      <w:pPr>
        <w:ind w:left="0" w:firstLine="0"/>
      </w:pPr>
      <w:rPr/>
    </w:lvl>
    <w:lvl w:ilvl="3">
      <w:start w:val="0"/>
      <w:numFmt w:val="decimal"/>
      <w:lvlText w:val="(%4)"/>
      <w:lvlJc w:val="left"/>
      <w:pPr>
        <w:ind w:left="0" w:firstLine="0"/>
      </w:pPr>
      <w:rPr/>
    </w:lvl>
    <w:lvl w:ilvl="4">
      <w:start w:val="0"/>
      <w:numFmt w:val="lowerLetter"/>
      <w:lvlText w:val="(%5)"/>
      <w:lvlJc w:val="left"/>
      <w:pPr>
        <w:ind w:left="0" w:firstLine="0"/>
      </w:pPr>
      <w:rPr/>
    </w:lvl>
    <w:lvl w:ilvl="5">
      <w:start w:val="0"/>
      <w:numFmt w:val="lowerRoman"/>
      <w:lvlText w:val="(%6)"/>
      <w:lvlJc w:val="right"/>
      <w:pPr>
        <w:ind w:left="0" w:firstLine="0"/>
      </w:pPr>
      <w:rPr/>
    </w:lvl>
    <w:lvl w:ilvl="6">
      <w:start w:val="0"/>
      <w:numFmt w:val="decimal"/>
      <w:lvlText w:val="%7."/>
      <w:lvlJc w:val="left"/>
      <w:pPr>
        <w:ind w:left="0" w:firstLine="0"/>
      </w:pPr>
      <w:rPr/>
    </w:lvl>
    <w:lvl w:ilvl="7">
      <w:start w:val="0"/>
      <w:numFmt w:val="lowerLetter"/>
      <w:lvlText w:val="%8."/>
      <w:lvlJc w:val="left"/>
      <w:pPr>
        <w:ind w:left="0" w:firstLine="0"/>
      </w:pPr>
      <w:rPr/>
    </w:lvl>
    <w:lvl w:ilvl="8">
      <w:start w:val="0"/>
      <w:numFmt w:val="lowerRoman"/>
      <w:lvlText w:val="%9."/>
      <w:lvlJc w:val="right"/>
      <w:pPr>
        <w:ind w:left="0" w:firstLine="0"/>
      </w:pPr>
      <w:rPr/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kiBuuwYDLF8tZ284FSmsJM59qQ==">CgMxLjA4AHIhMVUyZ3pvUks5M0tyZTZOODRSc2xBWkNLbTV4OVIzVkFV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